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176"/>
      </w:tblGrid>
      <w:tr w:rsidR="002F3C44" w:rsidRPr="00D93CF7" w:rsidTr="00241F82">
        <w:tc>
          <w:tcPr>
            <w:tcW w:w="13176" w:type="dxa"/>
          </w:tcPr>
          <w:p w:rsidR="002F3C44" w:rsidRPr="00D93CF7" w:rsidRDefault="002F3C44" w:rsidP="00241F82">
            <w:pPr>
              <w:jc w:val="center"/>
              <w:rPr>
                <w:rFonts w:asciiTheme="majorHAnsi" w:hAnsiTheme="majorHAnsi"/>
                <w:b/>
              </w:rPr>
            </w:pPr>
            <w:r w:rsidRPr="00D93CF7">
              <w:rPr>
                <w:rFonts w:asciiTheme="majorHAnsi" w:hAnsiTheme="majorHAnsi"/>
                <w:b/>
              </w:rPr>
              <w:br w:type="page"/>
              <w:t>Common Core State Standards</w:t>
            </w:r>
          </w:p>
          <w:p w:rsidR="002F3C44" w:rsidRPr="00D93CF7" w:rsidRDefault="002F3C44" w:rsidP="00241F82">
            <w:pPr>
              <w:jc w:val="center"/>
              <w:rPr>
                <w:rFonts w:asciiTheme="majorHAnsi" w:hAnsiTheme="majorHAnsi"/>
                <w:b/>
              </w:rPr>
            </w:pPr>
            <w:r w:rsidRPr="00D93CF7">
              <w:rPr>
                <w:rFonts w:asciiTheme="majorHAnsi" w:hAnsiTheme="majorHAnsi"/>
                <w:b/>
              </w:rPr>
              <w:t>Grade 2</w:t>
            </w:r>
          </w:p>
          <w:p w:rsidR="002F3C44" w:rsidRPr="00D93CF7" w:rsidRDefault="002F3C44" w:rsidP="00241F82">
            <w:pPr>
              <w:jc w:val="center"/>
              <w:rPr>
                <w:rFonts w:asciiTheme="majorHAnsi" w:hAnsiTheme="majorHAnsi"/>
                <w:b/>
              </w:rPr>
            </w:pPr>
            <w:r w:rsidRPr="00D93CF7">
              <w:rPr>
                <w:rFonts w:asciiTheme="majorHAnsi" w:hAnsiTheme="majorHAnsi"/>
                <w:b/>
              </w:rPr>
              <w:t>Unit 2:  Place Value Up to 1,000</w:t>
            </w:r>
          </w:p>
        </w:tc>
      </w:tr>
      <w:tr w:rsidR="002F3C44" w:rsidRPr="00D93CF7" w:rsidTr="00241F82">
        <w:tc>
          <w:tcPr>
            <w:tcW w:w="13176" w:type="dxa"/>
          </w:tcPr>
          <w:p w:rsidR="002F3C44" w:rsidRPr="00D93CF7" w:rsidRDefault="002F3C44" w:rsidP="00241F82">
            <w:pPr>
              <w:autoSpaceDE w:val="0"/>
              <w:autoSpaceDN w:val="0"/>
              <w:adjustRightInd w:val="0"/>
              <w:spacing w:before="120"/>
              <w:rPr>
                <w:rFonts w:asciiTheme="majorHAnsi" w:hAnsiTheme="majorHAnsi"/>
                <w:b/>
                <w:u w:val="single"/>
              </w:rPr>
            </w:pPr>
            <w:r w:rsidRPr="00D93CF7">
              <w:rPr>
                <w:rFonts w:asciiTheme="majorHAnsi" w:hAnsiTheme="majorHAnsi"/>
                <w:b/>
                <w:u w:val="single"/>
              </w:rPr>
              <w:t>Number and Operations in Base Ten 2.NBT</w:t>
            </w:r>
          </w:p>
          <w:p w:rsidR="002F3C44" w:rsidRPr="00D93CF7" w:rsidRDefault="002F3C44" w:rsidP="00241F82">
            <w:pPr>
              <w:pBdr>
                <w:bottom w:val="single" w:sz="6" w:space="4" w:color="E5E4E4"/>
              </w:pBdr>
              <w:shd w:val="clear" w:color="auto" w:fill="FFFFFF"/>
              <w:spacing w:before="300"/>
              <w:outlineLvl w:val="1"/>
              <w:rPr>
                <w:rFonts w:asciiTheme="majorHAnsi" w:eastAsia="Times New Roman" w:hAnsiTheme="majorHAnsi" w:cs="Helvetica"/>
                <w:b/>
                <w:bCs/>
              </w:rPr>
            </w:pPr>
            <w:r w:rsidRPr="00D93CF7">
              <w:rPr>
                <w:rFonts w:asciiTheme="majorHAnsi" w:eastAsia="Times New Roman" w:hAnsiTheme="majorHAnsi" w:cs="Helvetica"/>
                <w:b/>
                <w:bCs/>
              </w:rPr>
              <w:t>Understand place value.</w:t>
            </w:r>
          </w:p>
          <w:p w:rsidR="002F3C44" w:rsidRPr="00D93CF7" w:rsidRDefault="002F3C44" w:rsidP="00241F82">
            <w:pPr>
              <w:numPr>
                <w:ilvl w:val="0"/>
                <w:numId w:val="1"/>
              </w:numPr>
              <w:shd w:val="clear" w:color="auto" w:fill="FFFFFF"/>
              <w:spacing w:before="100" w:beforeAutospacing="1" w:line="240" w:lineRule="atLeast"/>
              <w:ind w:left="0"/>
              <w:rPr>
                <w:rFonts w:asciiTheme="majorHAnsi" w:eastAsia="Times New Roman" w:hAnsiTheme="majorHAnsi" w:cs="Helvetica"/>
              </w:rPr>
            </w:pPr>
            <w:bookmarkStart w:id="0" w:name="2-nbt-1"/>
            <w:proofErr w:type="gramStart"/>
            <w:r w:rsidRPr="00B2411B">
              <w:rPr>
                <w:rFonts w:asciiTheme="majorHAnsi" w:eastAsia="Times New Roman" w:hAnsiTheme="majorHAnsi" w:cs="Helvetica"/>
                <w:u w:val="single"/>
              </w:rPr>
              <w:t>2.NBT.1</w:t>
            </w:r>
            <w:proofErr w:type="gramEnd"/>
            <w:r w:rsidRPr="00B2411B">
              <w:rPr>
                <w:rFonts w:asciiTheme="majorHAnsi" w:eastAsia="Times New Roman" w:hAnsiTheme="majorHAnsi" w:cs="Helvetica"/>
                <w:u w:val="single"/>
              </w:rPr>
              <w:t>.</w:t>
            </w:r>
            <w:bookmarkEnd w:id="0"/>
            <w:r w:rsidRPr="00D93CF7">
              <w:rPr>
                <w:rFonts w:asciiTheme="majorHAnsi" w:eastAsia="Times New Roman" w:hAnsiTheme="majorHAnsi" w:cs="Helvetica"/>
              </w:rPr>
              <w:t xml:space="preserve"> Understand that the three digits of a three-digit number represent amounts of hundreds, tens, and ones; e.g., 706 equals 7 hundreds, 0 tens, and 6 ones. Understand the following as special cases: </w:t>
            </w:r>
          </w:p>
          <w:p w:rsidR="002F3C44" w:rsidRPr="00D93CF7" w:rsidRDefault="002F3C44" w:rsidP="00241F82">
            <w:pPr>
              <w:numPr>
                <w:ilvl w:val="1"/>
                <w:numId w:val="1"/>
              </w:numPr>
              <w:shd w:val="clear" w:color="auto" w:fill="FFFFFF"/>
              <w:spacing w:before="100" w:beforeAutospacing="1" w:line="240" w:lineRule="atLeast"/>
              <w:ind w:left="0"/>
              <w:rPr>
                <w:rFonts w:asciiTheme="majorHAnsi" w:eastAsia="Times New Roman" w:hAnsiTheme="majorHAnsi" w:cs="Helvetica"/>
              </w:rPr>
            </w:pPr>
            <w:r w:rsidRPr="00D93CF7">
              <w:rPr>
                <w:rFonts w:asciiTheme="majorHAnsi" w:eastAsia="Times New Roman" w:hAnsiTheme="majorHAnsi" w:cs="Helvetica"/>
              </w:rPr>
              <w:t>100 can be thought of as a bundle of ten tens — called a “hundred.”</w:t>
            </w:r>
          </w:p>
          <w:p w:rsidR="002F3C44" w:rsidRPr="00D93CF7" w:rsidRDefault="002F3C44" w:rsidP="00241F82">
            <w:pPr>
              <w:numPr>
                <w:ilvl w:val="1"/>
                <w:numId w:val="1"/>
              </w:numPr>
              <w:shd w:val="clear" w:color="auto" w:fill="FFFFFF"/>
              <w:spacing w:before="100" w:beforeAutospacing="1" w:line="240" w:lineRule="atLeast"/>
              <w:ind w:left="0"/>
              <w:rPr>
                <w:rFonts w:asciiTheme="majorHAnsi" w:eastAsia="Times New Roman" w:hAnsiTheme="majorHAnsi" w:cs="Helvetica"/>
              </w:rPr>
            </w:pPr>
            <w:r w:rsidRPr="00D93CF7">
              <w:rPr>
                <w:rFonts w:asciiTheme="majorHAnsi" w:eastAsia="Times New Roman" w:hAnsiTheme="majorHAnsi" w:cs="Helvetica"/>
              </w:rPr>
              <w:t xml:space="preserve">The numbers 100, 200, 300, 400, 500, 600, 700, 800, 900 refer to one, two, three, four, five, six, seven, eight, or nine hundreds (and 0 </w:t>
            </w:r>
            <w:proofErr w:type="spellStart"/>
            <w:r w:rsidRPr="00D93CF7">
              <w:rPr>
                <w:rFonts w:asciiTheme="majorHAnsi" w:eastAsia="Times New Roman" w:hAnsiTheme="majorHAnsi" w:cs="Helvetica"/>
              </w:rPr>
              <w:t>tens</w:t>
            </w:r>
            <w:proofErr w:type="spellEnd"/>
            <w:r w:rsidRPr="00D93CF7">
              <w:rPr>
                <w:rFonts w:asciiTheme="majorHAnsi" w:eastAsia="Times New Roman" w:hAnsiTheme="majorHAnsi" w:cs="Helvetica"/>
              </w:rPr>
              <w:t xml:space="preserve"> and 0 ones).</w:t>
            </w:r>
          </w:p>
          <w:p w:rsidR="002F3C44" w:rsidRPr="00D93CF7" w:rsidRDefault="002F3C44" w:rsidP="00241F82">
            <w:pPr>
              <w:numPr>
                <w:ilvl w:val="0"/>
                <w:numId w:val="1"/>
              </w:numPr>
              <w:shd w:val="clear" w:color="auto" w:fill="FFFFFF"/>
              <w:spacing w:before="100" w:beforeAutospacing="1" w:line="240" w:lineRule="atLeast"/>
              <w:ind w:left="0"/>
              <w:rPr>
                <w:rFonts w:asciiTheme="majorHAnsi" w:eastAsia="Times New Roman" w:hAnsiTheme="majorHAnsi" w:cs="Helvetica"/>
              </w:rPr>
            </w:pPr>
            <w:bookmarkStart w:id="1" w:name="2-nbt-2"/>
            <w:proofErr w:type="gramStart"/>
            <w:r w:rsidRPr="00B2411B">
              <w:rPr>
                <w:rFonts w:asciiTheme="majorHAnsi" w:eastAsia="Times New Roman" w:hAnsiTheme="majorHAnsi" w:cs="Helvetica"/>
                <w:u w:val="single"/>
              </w:rPr>
              <w:t>2.NBT.2</w:t>
            </w:r>
            <w:proofErr w:type="gramEnd"/>
            <w:r w:rsidRPr="00D93CF7">
              <w:rPr>
                <w:rFonts w:asciiTheme="majorHAnsi" w:eastAsia="Times New Roman" w:hAnsiTheme="majorHAnsi" w:cs="Helvetica"/>
              </w:rPr>
              <w:t>.</w:t>
            </w:r>
            <w:bookmarkEnd w:id="1"/>
            <w:r w:rsidRPr="00D93CF7">
              <w:rPr>
                <w:rFonts w:asciiTheme="majorHAnsi" w:eastAsia="Times New Roman" w:hAnsiTheme="majorHAnsi" w:cs="Helvetica"/>
              </w:rPr>
              <w:t xml:space="preserve"> Count within 1000; skip-count by 5s, 10s, and 100s.</w:t>
            </w:r>
          </w:p>
          <w:p w:rsidR="002F3C44" w:rsidRPr="00D93CF7" w:rsidRDefault="002F3C44" w:rsidP="00241F82">
            <w:pPr>
              <w:numPr>
                <w:ilvl w:val="0"/>
                <w:numId w:val="1"/>
              </w:numPr>
              <w:shd w:val="clear" w:color="auto" w:fill="FFFFFF"/>
              <w:spacing w:before="100" w:beforeAutospacing="1" w:line="240" w:lineRule="atLeast"/>
              <w:ind w:left="0"/>
              <w:rPr>
                <w:rFonts w:asciiTheme="majorHAnsi" w:eastAsia="Times New Roman" w:hAnsiTheme="majorHAnsi" w:cs="Helvetica"/>
              </w:rPr>
            </w:pPr>
            <w:bookmarkStart w:id="2" w:name="2-nbt-3"/>
            <w:proofErr w:type="gramStart"/>
            <w:r w:rsidRPr="00B2411B">
              <w:rPr>
                <w:rFonts w:asciiTheme="majorHAnsi" w:eastAsia="Times New Roman" w:hAnsiTheme="majorHAnsi" w:cs="Helvetica"/>
                <w:u w:val="single"/>
              </w:rPr>
              <w:t>2.NBT.3</w:t>
            </w:r>
            <w:proofErr w:type="gramEnd"/>
            <w:r w:rsidRPr="00B2411B">
              <w:rPr>
                <w:rFonts w:asciiTheme="majorHAnsi" w:eastAsia="Times New Roman" w:hAnsiTheme="majorHAnsi" w:cs="Helvetica"/>
                <w:u w:val="single"/>
              </w:rPr>
              <w:t>.</w:t>
            </w:r>
            <w:bookmarkEnd w:id="2"/>
            <w:r w:rsidRPr="00D93CF7">
              <w:rPr>
                <w:rFonts w:asciiTheme="majorHAnsi" w:eastAsia="Times New Roman" w:hAnsiTheme="majorHAnsi" w:cs="Helvetica"/>
              </w:rPr>
              <w:t xml:space="preserve"> Read and write numbers to 1000 using base-ten numerals, number names, and expanded form.</w:t>
            </w:r>
          </w:p>
          <w:p w:rsidR="002F3C44" w:rsidRPr="00D93CF7" w:rsidRDefault="002F3C44" w:rsidP="00241F82">
            <w:pPr>
              <w:numPr>
                <w:ilvl w:val="0"/>
                <w:numId w:val="1"/>
              </w:numPr>
              <w:shd w:val="clear" w:color="auto" w:fill="FFFFFF"/>
              <w:spacing w:before="100" w:beforeAutospacing="1" w:line="240" w:lineRule="atLeast"/>
              <w:ind w:left="0"/>
              <w:rPr>
                <w:rFonts w:asciiTheme="majorHAnsi" w:eastAsia="Times New Roman" w:hAnsiTheme="majorHAnsi" w:cs="Helvetica"/>
              </w:rPr>
            </w:pPr>
            <w:bookmarkStart w:id="3" w:name="2-nbt-4"/>
            <w:proofErr w:type="gramStart"/>
            <w:r w:rsidRPr="00B2411B">
              <w:rPr>
                <w:rFonts w:asciiTheme="majorHAnsi" w:eastAsia="Times New Roman" w:hAnsiTheme="majorHAnsi" w:cs="Helvetica"/>
                <w:u w:val="single"/>
              </w:rPr>
              <w:t>2.NBT.4</w:t>
            </w:r>
            <w:proofErr w:type="gramEnd"/>
            <w:r w:rsidRPr="00B2411B">
              <w:rPr>
                <w:rFonts w:asciiTheme="majorHAnsi" w:eastAsia="Times New Roman" w:hAnsiTheme="majorHAnsi" w:cs="Helvetica"/>
                <w:u w:val="single"/>
              </w:rPr>
              <w:t>.</w:t>
            </w:r>
            <w:bookmarkEnd w:id="3"/>
            <w:r w:rsidRPr="00D93CF7">
              <w:rPr>
                <w:rFonts w:asciiTheme="majorHAnsi" w:eastAsia="Times New Roman" w:hAnsiTheme="majorHAnsi" w:cs="Helvetica"/>
              </w:rPr>
              <w:t xml:space="preserve"> Compare two three-digit numbers based on meanings of the hundreds, tens, and ones digits, using &gt;, =, and &lt; symbols to record the results of comparisons.</w:t>
            </w:r>
          </w:p>
          <w:p w:rsidR="002F3C44" w:rsidRPr="00D93CF7" w:rsidRDefault="002F3C44" w:rsidP="00241F82">
            <w:pPr>
              <w:autoSpaceDE w:val="0"/>
              <w:autoSpaceDN w:val="0"/>
              <w:adjustRightInd w:val="0"/>
              <w:spacing w:before="120"/>
              <w:rPr>
                <w:rFonts w:asciiTheme="majorHAnsi" w:hAnsiTheme="majorHAnsi"/>
                <w:b/>
              </w:rPr>
            </w:pPr>
          </w:p>
        </w:tc>
      </w:tr>
    </w:tbl>
    <w:p w:rsidR="007244BB" w:rsidRDefault="007244BB"/>
    <w:p w:rsidR="006B6225" w:rsidRDefault="006B6225"/>
    <w:p w:rsidR="006B6225" w:rsidRDefault="006B6225"/>
    <w:p w:rsidR="006B6225" w:rsidRDefault="006B6225"/>
    <w:p w:rsidR="006B6225" w:rsidRDefault="006B6225"/>
    <w:p w:rsidR="006B6225" w:rsidRDefault="006B6225"/>
    <w:p w:rsidR="006B6225" w:rsidRDefault="006B6225"/>
    <w:p w:rsidR="006B6225" w:rsidRDefault="006B6225"/>
    <w:p w:rsidR="006B6225" w:rsidRDefault="006B6225"/>
    <w:tbl>
      <w:tblPr>
        <w:tblW w:w="1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381"/>
      </w:tblGrid>
      <w:tr w:rsidR="006B6225" w:rsidRPr="00D93CF7" w:rsidTr="00241F82">
        <w:tc>
          <w:tcPr>
            <w:tcW w:w="13886" w:type="dxa"/>
            <w:gridSpan w:val="2"/>
            <w:shd w:val="clear" w:color="auto" w:fill="auto"/>
          </w:tcPr>
          <w:p w:rsidR="006B6225" w:rsidRPr="00D93CF7" w:rsidRDefault="006B6225" w:rsidP="00241F82">
            <w:pPr>
              <w:autoSpaceDE w:val="0"/>
              <w:autoSpaceDN w:val="0"/>
              <w:adjustRightInd w:val="0"/>
              <w:spacing w:after="0" w:line="240" w:lineRule="auto"/>
              <w:jc w:val="center"/>
              <w:rPr>
                <w:rFonts w:asciiTheme="majorHAnsi" w:eastAsia="Times New Roman" w:hAnsiTheme="majorHAnsi" w:cs="Times New Roman"/>
              </w:rPr>
            </w:pPr>
            <w:r w:rsidRPr="00D93CF7">
              <w:rPr>
                <w:rFonts w:asciiTheme="majorHAnsi" w:hAnsiTheme="majorHAnsi"/>
              </w:rPr>
              <w:lastRenderedPageBreak/>
              <w:br w:type="page"/>
            </w:r>
            <w:r w:rsidRPr="00D93CF7">
              <w:rPr>
                <w:rFonts w:asciiTheme="majorHAnsi" w:hAnsiTheme="majorHAnsi"/>
                <w:b/>
              </w:rPr>
              <w:br w:type="page"/>
            </w:r>
            <w:r w:rsidRPr="00D93CF7">
              <w:rPr>
                <w:rFonts w:asciiTheme="majorHAnsi" w:hAnsiTheme="majorHAnsi"/>
                <w:b/>
              </w:rPr>
              <w:br w:type="page"/>
            </w:r>
            <w:r w:rsidRPr="00D93CF7">
              <w:rPr>
                <w:rFonts w:asciiTheme="majorHAnsi" w:eastAsia="Times New Roman" w:hAnsiTheme="majorHAnsi" w:cs="Times New Roman"/>
              </w:rPr>
              <w:t>Grade Two Standards for Mathematical Practice</w:t>
            </w:r>
          </w:p>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The K-12 Standards for Mathematical Practice describe varieties of expertise that mathematics educators at all levels should seek to develop in their students. This page gives examples of what the practice standards look like at the specified grade level.</w:t>
            </w:r>
          </w:p>
        </w:tc>
      </w:tr>
      <w:tr w:rsidR="006B6225" w:rsidRPr="00D93CF7" w:rsidTr="00241F82">
        <w:tc>
          <w:tcPr>
            <w:tcW w:w="3505" w:type="dxa"/>
            <w:shd w:val="clear" w:color="auto" w:fill="auto"/>
          </w:tcPr>
          <w:p w:rsidR="006B6225" w:rsidRPr="00D93CF7" w:rsidRDefault="006B6225" w:rsidP="00241F82">
            <w:pPr>
              <w:autoSpaceDE w:val="0"/>
              <w:autoSpaceDN w:val="0"/>
              <w:adjustRightInd w:val="0"/>
              <w:spacing w:after="0" w:line="240" w:lineRule="auto"/>
              <w:jc w:val="center"/>
              <w:rPr>
                <w:rFonts w:asciiTheme="majorHAnsi" w:eastAsia="Times New Roman" w:hAnsiTheme="majorHAnsi" w:cs="Times New Roman"/>
              </w:rPr>
            </w:pPr>
            <w:r w:rsidRPr="00D93CF7">
              <w:rPr>
                <w:rFonts w:asciiTheme="majorHAnsi" w:eastAsia="Times New Roman" w:hAnsiTheme="majorHAnsi" w:cs="Times New Roman"/>
                <w:b/>
                <w:bCs/>
                <w:i/>
                <w:iCs/>
              </w:rPr>
              <w:t>Standards</w:t>
            </w:r>
          </w:p>
        </w:tc>
        <w:tc>
          <w:tcPr>
            <w:tcW w:w="10381" w:type="dxa"/>
            <w:shd w:val="clear" w:color="auto" w:fill="auto"/>
          </w:tcPr>
          <w:p w:rsidR="006B6225" w:rsidRPr="00D93CF7" w:rsidRDefault="006B6225" w:rsidP="00241F82">
            <w:pPr>
              <w:autoSpaceDE w:val="0"/>
              <w:autoSpaceDN w:val="0"/>
              <w:adjustRightInd w:val="0"/>
              <w:spacing w:after="0" w:line="240" w:lineRule="auto"/>
              <w:jc w:val="center"/>
              <w:rPr>
                <w:rFonts w:asciiTheme="majorHAnsi" w:eastAsia="Times New Roman" w:hAnsiTheme="majorHAnsi" w:cs="Times New Roman"/>
              </w:rPr>
            </w:pPr>
            <w:r w:rsidRPr="00D93CF7">
              <w:rPr>
                <w:rFonts w:asciiTheme="majorHAnsi" w:eastAsia="Times New Roman" w:hAnsiTheme="majorHAnsi" w:cs="Times New Roman"/>
                <w:b/>
                <w:bCs/>
                <w:i/>
                <w:iCs/>
              </w:rPr>
              <w:t>Explanations and Examples</w:t>
            </w:r>
          </w:p>
        </w:tc>
      </w:tr>
      <w:tr w:rsidR="006B6225" w:rsidRPr="00D93CF7" w:rsidTr="00241F82">
        <w:tc>
          <w:tcPr>
            <w:tcW w:w="3505"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Students are expected to:</w:t>
            </w:r>
          </w:p>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b/>
              </w:rPr>
              <w:t>1. Make sense of problems and persevere in solving them</w:t>
            </w:r>
            <w:r w:rsidRPr="00D93CF7">
              <w:rPr>
                <w:rFonts w:asciiTheme="majorHAnsi" w:eastAsia="Times New Roman" w:hAnsiTheme="majorHAnsi" w:cs="Times New Roman"/>
              </w:rPr>
              <w:t>.</w:t>
            </w:r>
          </w:p>
        </w:tc>
        <w:tc>
          <w:tcPr>
            <w:tcW w:w="10381"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 xml:space="preserve">In second grade, students realize that doing mathematics involves solving problems and discussing how they solved them. Students explain to themselves the meaning of a problem and look for ways to solve it. They may use concrete objects or pictures to help them conceptualize and solve problems. They may check their thinking by asking themselves, “Does this make sense?” They make conjectures about the solution and plan out a problem-solving approach. </w:t>
            </w:r>
          </w:p>
        </w:tc>
      </w:tr>
      <w:tr w:rsidR="006B6225" w:rsidRPr="00D93CF7" w:rsidTr="00241F82">
        <w:tc>
          <w:tcPr>
            <w:tcW w:w="3505"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Students are expected to:</w:t>
            </w:r>
          </w:p>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b/>
              </w:rPr>
            </w:pPr>
            <w:r w:rsidRPr="00D93CF7">
              <w:rPr>
                <w:rFonts w:asciiTheme="majorHAnsi" w:eastAsia="Times New Roman" w:hAnsiTheme="majorHAnsi" w:cs="Times New Roman"/>
                <w:b/>
              </w:rPr>
              <w:t>2. Reason abstractly and quantitatively.</w:t>
            </w:r>
          </w:p>
        </w:tc>
        <w:tc>
          <w:tcPr>
            <w:tcW w:w="10381"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 xml:space="preserve">Younger students recognize that a number represents a specific quantity. They connect the quantity to written symbols. Quantitative reasoning entails creating a representation of a problem while attending to the meanings of the quantities. Second graders begin to know and use different properties of operations and objects. </w:t>
            </w:r>
          </w:p>
        </w:tc>
      </w:tr>
      <w:tr w:rsidR="006B6225" w:rsidRPr="00D93CF7" w:rsidTr="00241F82">
        <w:tc>
          <w:tcPr>
            <w:tcW w:w="3505"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Students are expected to:</w:t>
            </w:r>
          </w:p>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b/>
              </w:rPr>
              <w:t>3. Construct viable arguments and critique the reasoning of others.</w:t>
            </w:r>
          </w:p>
        </w:tc>
        <w:tc>
          <w:tcPr>
            <w:tcW w:w="10381"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 xml:space="preserve">Second graders may construct arguments using concrete referents, such as objects, pictures, drawings, and actions. They practice their mathematical communication skills as they participate in mathematical discussions involving questions like “How did you get that?”, “Explain your thinking,” and “Why is that true?” They not only explain their own thinking, but listen to others’ explanations. They decide if the explanations make sense and ask appropriate questions. </w:t>
            </w:r>
          </w:p>
        </w:tc>
      </w:tr>
      <w:tr w:rsidR="006B6225" w:rsidRPr="00D93CF7" w:rsidTr="00241F82">
        <w:tc>
          <w:tcPr>
            <w:tcW w:w="3505"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Students are expected to:</w:t>
            </w:r>
          </w:p>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b/>
              </w:rPr>
            </w:pPr>
            <w:r w:rsidRPr="00D93CF7">
              <w:rPr>
                <w:rFonts w:asciiTheme="majorHAnsi" w:eastAsia="Times New Roman" w:hAnsiTheme="majorHAnsi" w:cs="Times New Roman"/>
                <w:b/>
              </w:rPr>
              <w:t xml:space="preserve">4. Model with mathematics. </w:t>
            </w:r>
          </w:p>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p>
        </w:tc>
        <w:tc>
          <w:tcPr>
            <w:tcW w:w="10381"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w:t>
            </w:r>
          </w:p>
        </w:tc>
      </w:tr>
      <w:tr w:rsidR="006B6225" w:rsidRPr="00D93CF7" w:rsidTr="00241F82">
        <w:tc>
          <w:tcPr>
            <w:tcW w:w="3505"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Students are expected to:</w:t>
            </w:r>
          </w:p>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b/>
              </w:rPr>
            </w:pPr>
            <w:r w:rsidRPr="00D93CF7">
              <w:rPr>
                <w:rFonts w:asciiTheme="majorHAnsi" w:eastAsia="Times New Roman" w:hAnsiTheme="majorHAnsi" w:cs="Times New Roman"/>
                <w:b/>
              </w:rPr>
              <w:t xml:space="preserve">5. Use appropriate tools strategically. </w:t>
            </w:r>
          </w:p>
        </w:tc>
        <w:tc>
          <w:tcPr>
            <w:tcW w:w="10381"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 xml:space="preserve">In second grade, students consider the available tools (including estimation) when solving a mathematical problem and decide when certain tools might be better suited. For instance, second graders may decide to solve a problem by drawing a picture rather than writing an equation. </w:t>
            </w:r>
          </w:p>
        </w:tc>
      </w:tr>
      <w:tr w:rsidR="006B6225" w:rsidRPr="00D93CF7" w:rsidTr="00241F82">
        <w:tc>
          <w:tcPr>
            <w:tcW w:w="3505"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Students are expected to:</w:t>
            </w:r>
          </w:p>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b/>
              </w:rPr>
            </w:pPr>
            <w:r w:rsidRPr="00D93CF7">
              <w:rPr>
                <w:rFonts w:asciiTheme="majorHAnsi" w:eastAsia="Times New Roman" w:hAnsiTheme="majorHAnsi" w:cs="Times New Roman"/>
                <w:b/>
              </w:rPr>
              <w:t xml:space="preserve">6. Attend to precision. </w:t>
            </w:r>
          </w:p>
        </w:tc>
        <w:tc>
          <w:tcPr>
            <w:tcW w:w="10381"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As children begin to develop their mathematical communication skills, they try to use clear and precise language in their discussions with others and when they explain their own reasoning.</w:t>
            </w:r>
          </w:p>
        </w:tc>
      </w:tr>
      <w:tr w:rsidR="006B6225" w:rsidRPr="00D93CF7" w:rsidTr="00241F82">
        <w:tc>
          <w:tcPr>
            <w:tcW w:w="3505"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Students are expected to:</w:t>
            </w:r>
          </w:p>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b/>
              </w:rPr>
            </w:pPr>
            <w:r w:rsidRPr="00D93CF7">
              <w:rPr>
                <w:rFonts w:asciiTheme="majorHAnsi" w:eastAsia="Times New Roman" w:hAnsiTheme="majorHAnsi" w:cs="Times New Roman"/>
                <w:b/>
              </w:rPr>
              <w:t xml:space="preserve">7. Look for and make use of structure. </w:t>
            </w:r>
          </w:p>
        </w:tc>
        <w:tc>
          <w:tcPr>
            <w:tcW w:w="10381"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Second graders look for patterns. For instance, they adopt mental math strategies based on patterns (making ten, fact families, doubles).</w:t>
            </w:r>
          </w:p>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p>
        </w:tc>
      </w:tr>
      <w:tr w:rsidR="006B6225" w:rsidRPr="00D93CF7" w:rsidTr="00241F82">
        <w:tc>
          <w:tcPr>
            <w:tcW w:w="3505"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Students are expected to:</w:t>
            </w:r>
          </w:p>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b/>
              </w:rPr>
              <w:t>8. Look for and express regularity in repeated reasoning</w:t>
            </w:r>
            <w:r w:rsidRPr="00D93CF7">
              <w:rPr>
                <w:rFonts w:asciiTheme="majorHAnsi" w:eastAsia="Times New Roman" w:hAnsiTheme="majorHAnsi" w:cs="Times New Roman"/>
              </w:rPr>
              <w:t xml:space="preserve">. </w:t>
            </w:r>
          </w:p>
        </w:tc>
        <w:tc>
          <w:tcPr>
            <w:tcW w:w="10381" w:type="dxa"/>
            <w:shd w:val="clear" w:color="auto" w:fill="auto"/>
          </w:tcPr>
          <w:p w:rsidR="006B6225" w:rsidRPr="00D93CF7" w:rsidRDefault="006B6225" w:rsidP="00241F82">
            <w:pPr>
              <w:autoSpaceDE w:val="0"/>
              <w:autoSpaceDN w:val="0"/>
              <w:adjustRightInd w:val="0"/>
              <w:spacing w:after="0" w:line="240" w:lineRule="auto"/>
              <w:rPr>
                <w:rFonts w:asciiTheme="majorHAnsi" w:eastAsia="Times New Roman" w:hAnsiTheme="majorHAnsi" w:cs="Times New Roman"/>
              </w:rPr>
            </w:pPr>
            <w:r w:rsidRPr="00D93CF7">
              <w:rPr>
                <w:rFonts w:asciiTheme="majorHAnsi" w:eastAsia="Times New Roman" w:hAnsiTheme="majorHAnsi" w:cs="Times New Roman"/>
              </w:rPr>
              <w:t>Students notice repetitive actions in counting and computation, etc. When children have multiple opportunities to add and subtract, they look for shortcuts, such as rounding up and then adjusting the answer to compensate for the rounding. Students continually check their work by asking themselves, “Does this make sense?”</w:t>
            </w:r>
          </w:p>
        </w:tc>
      </w:tr>
    </w:tbl>
    <w:p w:rsidR="006B6225" w:rsidRDefault="006B6225">
      <w:bookmarkStart w:id="4" w:name="_GoBack"/>
      <w:bookmarkEnd w:id="4"/>
    </w:p>
    <w:sectPr w:rsidR="006B6225" w:rsidSect="006B62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B7" w:rsidRDefault="00A96EB7" w:rsidP="00A96EB7">
      <w:pPr>
        <w:spacing w:after="0" w:line="240" w:lineRule="auto"/>
      </w:pPr>
      <w:r>
        <w:separator/>
      </w:r>
    </w:p>
  </w:endnote>
  <w:endnote w:type="continuationSeparator" w:id="0">
    <w:p w:rsidR="00A96EB7" w:rsidRDefault="00A96EB7" w:rsidP="00A9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B7" w:rsidRDefault="00A96EB7" w:rsidP="00A96EB7">
      <w:pPr>
        <w:spacing w:after="0" w:line="240" w:lineRule="auto"/>
      </w:pPr>
      <w:r>
        <w:separator/>
      </w:r>
    </w:p>
  </w:footnote>
  <w:footnote w:type="continuationSeparator" w:id="0">
    <w:p w:rsidR="00A96EB7" w:rsidRDefault="00A96EB7" w:rsidP="00A96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D68"/>
    <w:multiLevelType w:val="multilevel"/>
    <w:tmpl w:val="E0C2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BB"/>
    <w:rsid w:val="002F3C44"/>
    <w:rsid w:val="006B6225"/>
    <w:rsid w:val="007244BB"/>
    <w:rsid w:val="0076739F"/>
    <w:rsid w:val="00837F43"/>
    <w:rsid w:val="00A96EB7"/>
    <w:rsid w:val="00AB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4BB"/>
    <w:rPr>
      <w:rFonts w:ascii="Tahoma" w:hAnsi="Tahoma" w:cs="Tahoma"/>
      <w:sz w:val="16"/>
      <w:szCs w:val="16"/>
    </w:rPr>
  </w:style>
  <w:style w:type="paragraph" w:styleId="Header">
    <w:name w:val="header"/>
    <w:basedOn w:val="Normal"/>
    <w:link w:val="HeaderChar"/>
    <w:uiPriority w:val="99"/>
    <w:unhideWhenUsed/>
    <w:rsid w:val="00A9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EB7"/>
  </w:style>
  <w:style w:type="paragraph" w:styleId="Footer">
    <w:name w:val="footer"/>
    <w:basedOn w:val="Normal"/>
    <w:link w:val="FooterChar"/>
    <w:uiPriority w:val="99"/>
    <w:unhideWhenUsed/>
    <w:rsid w:val="00A9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EB7"/>
  </w:style>
  <w:style w:type="table" w:styleId="TableGrid">
    <w:name w:val="Table Grid"/>
    <w:basedOn w:val="TableNormal"/>
    <w:uiPriority w:val="59"/>
    <w:rsid w:val="002F3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4BB"/>
    <w:rPr>
      <w:rFonts w:ascii="Tahoma" w:hAnsi="Tahoma" w:cs="Tahoma"/>
      <w:sz w:val="16"/>
      <w:szCs w:val="16"/>
    </w:rPr>
  </w:style>
  <w:style w:type="paragraph" w:styleId="Header">
    <w:name w:val="header"/>
    <w:basedOn w:val="Normal"/>
    <w:link w:val="HeaderChar"/>
    <w:uiPriority w:val="99"/>
    <w:unhideWhenUsed/>
    <w:rsid w:val="00A9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EB7"/>
  </w:style>
  <w:style w:type="paragraph" w:styleId="Footer">
    <w:name w:val="footer"/>
    <w:basedOn w:val="Normal"/>
    <w:link w:val="FooterChar"/>
    <w:uiPriority w:val="99"/>
    <w:unhideWhenUsed/>
    <w:rsid w:val="00A9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EB7"/>
  </w:style>
  <w:style w:type="table" w:styleId="TableGrid">
    <w:name w:val="Table Grid"/>
    <w:basedOn w:val="TableNormal"/>
    <w:uiPriority w:val="59"/>
    <w:rsid w:val="002F3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FPS</dc:creator>
  <cp:lastModifiedBy>Windows User</cp:lastModifiedBy>
  <cp:revision>4</cp:revision>
  <cp:lastPrinted>2014-07-14T13:55:00Z</cp:lastPrinted>
  <dcterms:created xsi:type="dcterms:W3CDTF">2014-07-14T13:53:00Z</dcterms:created>
  <dcterms:modified xsi:type="dcterms:W3CDTF">2014-07-14T13:56:00Z</dcterms:modified>
</cp:coreProperties>
</file>